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0B" w:rsidRPr="001A6D0B" w:rsidRDefault="001A6D0B" w:rsidP="001A6D0B">
      <w:pPr>
        <w:spacing w:after="0" w:line="240" w:lineRule="auto"/>
        <w:outlineLvl w:val="1"/>
        <w:rPr>
          <w:sz w:val="20"/>
        </w:rPr>
      </w:pPr>
      <w:r w:rsidRPr="001A6D0B">
        <w:rPr>
          <w:rFonts w:ascii="Times New Roman" w:eastAsia="Times New Roman" w:hAnsi="Times New Roman" w:cs="Times New Roman"/>
          <w:b/>
          <w:bCs/>
          <w:sz w:val="20"/>
          <w:szCs w:val="21"/>
          <w:lang w:eastAsia="nl-NL"/>
        </w:rPr>
        <w:t xml:space="preserve">Bron: </w:t>
      </w:r>
      <w:hyperlink r:id="rId7" w:history="1">
        <w:r w:rsidRPr="001A6D0B">
          <w:rPr>
            <w:rStyle w:val="Hyperlink"/>
            <w:sz w:val="20"/>
          </w:rPr>
          <w:t>http://www.voervergelijk.nl/informatie/105/grasmengsels-voor-paarden</w:t>
        </w:r>
      </w:hyperlink>
    </w:p>
    <w:p w:rsidR="001A6D0B" w:rsidRPr="001A6D0B" w:rsidRDefault="001A6D0B" w:rsidP="001A6D0B">
      <w:pPr>
        <w:spacing w:after="0" w:line="240" w:lineRule="auto"/>
        <w:outlineLvl w:val="1"/>
        <w:rPr>
          <w:rFonts w:ascii="Times New Roman" w:eastAsia="Times New Roman" w:hAnsi="Times New Roman" w:cs="Times New Roman"/>
          <w:b/>
          <w:bCs/>
          <w:sz w:val="20"/>
          <w:szCs w:val="21"/>
          <w:lang w:eastAsia="nl-NL"/>
        </w:rPr>
      </w:pPr>
      <w:r w:rsidRPr="001A6D0B">
        <w:rPr>
          <w:b/>
          <w:sz w:val="20"/>
        </w:rPr>
        <w:t>Datum:</w:t>
      </w:r>
      <w:r w:rsidRPr="001A6D0B">
        <w:rPr>
          <w:sz w:val="20"/>
        </w:rPr>
        <w:t xml:space="preserve"> 15 april 2013</w:t>
      </w:r>
    </w:p>
    <w:p w:rsidR="001A6D0B" w:rsidRDefault="001A6D0B" w:rsidP="001A6D0B">
      <w:pPr>
        <w:spacing w:after="0" w:line="240" w:lineRule="auto"/>
        <w:outlineLvl w:val="1"/>
        <w:rPr>
          <w:rFonts w:ascii="Times New Roman" w:eastAsia="Times New Roman" w:hAnsi="Times New Roman" w:cs="Times New Roman"/>
          <w:b/>
          <w:bCs/>
          <w:sz w:val="21"/>
          <w:szCs w:val="21"/>
          <w:lang w:eastAsia="nl-NL"/>
        </w:rPr>
      </w:pPr>
    </w:p>
    <w:p w:rsidR="001A6D0B" w:rsidRPr="001A6D0B" w:rsidRDefault="001A6D0B" w:rsidP="001A6D0B">
      <w:pPr>
        <w:spacing w:after="0" w:line="240" w:lineRule="auto"/>
        <w:outlineLvl w:val="1"/>
        <w:rPr>
          <w:rFonts w:ascii="Times New Roman" w:eastAsia="Times New Roman" w:hAnsi="Times New Roman" w:cs="Times New Roman"/>
          <w:b/>
          <w:bCs/>
          <w:sz w:val="21"/>
          <w:szCs w:val="21"/>
          <w:lang w:eastAsia="nl-NL"/>
        </w:rPr>
      </w:pPr>
      <w:r w:rsidRPr="001A6D0B">
        <w:rPr>
          <w:rFonts w:ascii="Times New Roman" w:eastAsia="Times New Roman" w:hAnsi="Times New Roman" w:cs="Times New Roman"/>
          <w:b/>
          <w:bCs/>
          <w:sz w:val="21"/>
          <w:szCs w:val="21"/>
          <w:lang w:eastAsia="nl-NL"/>
        </w:rPr>
        <w:t>Grasmengsels voor paarden</w:t>
      </w:r>
    </w:p>
    <w:p w:rsidR="001A6D0B" w:rsidRPr="001A6D0B" w:rsidRDefault="001A6D0B" w:rsidP="001A6D0B">
      <w:pPr>
        <w:pStyle w:val="Geenafstand"/>
        <w:rPr>
          <w:lang w:eastAsia="nl-NL"/>
        </w:rPr>
      </w:pPr>
      <w:r w:rsidRPr="001A6D0B">
        <w:rPr>
          <w:lang w:eastAsia="nl-NL"/>
        </w:rPr>
        <w:t>De meeste weiden in Nederland worden ingezaaid met BG11, een graszaadmengsel voor rundveeweiden. BG11 bevat veel Engels raaigras van een modern type dat zeer snel groeit en heeft een hoog eiwit- en suikergehalte. BG11 is voor paarden veel minder geschikt.</w:t>
      </w:r>
      <w:r w:rsidRPr="001A6D0B">
        <w:rPr>
          <w:lang w:eastAsia="nl-NL"/>
        </w:rPr>
        <w:br/>
      </w:r>
      <w:r w:rsidRPr="001A6D0B">
        <w:rPr>
          <w:lang w:eastAsia="nl-NL"/>
        </w:rPr>
        <w:br/>
        <w:t xml:space="preserve">Op Raaigras kan in zeer droge periodes een schimmel voorkomen die </w:t>
      </w:r>
      <w:proofErr w:type="spellStart"/>
      <w:r w:rsidRPr="001A6D0B">
        <w:rPr>
          <w:lang w:eastAsia="nl-NL"/>
        </w:rPr>
        <w:t>mycotoxinen</w:t>
      </w:r>
      <w:proofErr w:type="spellEnd"/>
      <w:r w:rsidRPr="001A6D0B">
        <w:rPr>
          <w:lang w:eastAsia="nl-NL"/>
        </w:rPr>
        <w:t xml:space="preserve"> (gif) produceert. Dit gif kan de spiercoördinatie van een paard beïnvloeden. De schimmel komt vooral tijdens het einde van de zomer en het begin van herfst voor rond het groeipunt en in de zaadhoofden. De </w:t>
      </w:r>
      <w:proofErr w:type="spellStart"/>
      <w:r w:rsidRPr="001A6D0B">
        <w:rPr>
          <w:lang w:eastAsia="nl-NL"/>
        </w:rPr>
        <w:t>mycotoxinen</w:t>
      </w:r>
      <w:proofErr w:type="spellEnd"/>
      <w:r w:rsidRPr="001A6D0B">
        <w:rPr>
          <w:lang w:eastAsia="nl-NL"/>
        </w:rPr>
        <w:t xml:space="preserve"> tasten het coördinatievermogen van het paard aan, waardoor symptomen van </w:t>
      </w:r>
      <w:proofErr w:type="spellStart"/>
      <w:r w:rsidRPr="001A6D0B">
        <w:rPr>
          <w:lang w:eastAsia="nl-NL"/>
        </w:rPr>
        <w:t>Rhinopneumonie</w:t>
      </w:r>
      <w:proofErr w:type="spellEnd"/>
      <w:r w:rsidRPr="001A6D0B">
        <w:rPr>
          <w:lang w:eastAsia="nl-NL"/>
        </w:rPr>
        <w:t xml:space="preserve"> optreden. Deze ziekte wordt </w:t>
      </w:r>
      <w:proofErr w:type="spellStart"/>
      <w:r w:rsidRPr="001A6D0B">
        <w:rPr>
          <w:lang w:eastAsia="nl-NL"/>
        </w:rPr>
        <w:t>Lolitrem</w:t>
      </w:r>
      <w:proofErr w:type="spellEnd"/>
      <w:r w:rsidRPr="001A6D0B">
        <w:rPr>
          <w:lang w:eastAsia="nl-NL"/>
        </w:rPr>
        <w:t xml:space="preserve"> vergiftiging of Raaigraskramp genoemd. Raaigraskramp kan voorkomen worden door paarden niet op te schraal land te houden, rondom het groeipunt van het gras.   </w:t>
      </w:r>
      <w:r w:rsidRPr="001A6D0B">
        <w:rPr>
          <w:lang w:eastAsia="nl-NL"/>
        </w:rPr>
        <w:br/>
      </w:r>
      <w:r w:rsidRPr="001A6D0B">
        <w:rPr>
          <w:lang w:eastAsia="nl-NL"/>
        </w:rPr>
        <w:br/>
        <w:t>Paarden grazen het gras zeer kort af (in tegenstelling tot koeien die het met hun tong afsnijden) en als zij langere tijd op hetzelfde stukje lopen gaat het grasland kapot en hebben onkruiden meer kans. Specifiek voor het beweiden van paarden zijn graszaadmengsels in de handel die beter bestand zijn tegen vertrappen en kort afgrazen. Als je kunt kiezen voor het grasmengsel, kies dan voor een speciaal graszaadmengsel voor paarden met een laag groeipunt en een hoog vezelgehalte.</w:t>
      </w:r>
      <w:r w:rsidRPr="001A6D0B">
        <w:rPr>
          <w:lang w:eastAsia="nl-NL"/>
        </w:rPr>
        <w:br/>
      </w:r>
      <w:r w:rsidRPr="001A6D0B">
        <w:rPr>
          <w:lang w:eastAsia="nl-NL"/>
        </w:rPr>
        <w:br/>
        <w:t xml:space="preserve">De volgende grassoorten zijn zeer geschikt voor vezelrijke weiden met lage </w:t>
      </w:r>
      <w:proofErr w:type="spellStart"/>
      <w:r w:rsidRPr="001A6D0B">
        <w:rPr>
          <w:lang w:eastAsia="nl-NL"/>
        </w:rPr>
        <w:t>fructaangehalten</w:t>
      </w:r>
      <w:proofErr w:type="spellEnd"/>
      <w:r w:rsidRPr="001A6D0B">
        <w:rPr>
          <w:lang w:eastAsia="nl-NL"/>
        </w:rPr>
        <w:t xml:space="preserve">: grote </w:t>
      </w:r>
      <w:proofErr w:type="spellStart"/>
      <w:r w:rsidRPr="001A6D0B">
        <w:rPr>
          <w:lang w:eastAsia="nl-NL"/>
        </w:rPr>
        <w:t>vossemstaart</w:t>
      </w:r>
      <w:proofErr w:type="spellEnd"/>
      <w:r w:rsidRPr="001A6D0B">
        <w:rPr>
          <w:lang w:eastAsia="nl-NL"/>
        </w:rPr>
        <w:t xml:space="preserve">, </w:t>
      </w:r>
      <w:proofErr w:type="spellStart"/>
      <w:r w:rsidRPr="001A6D0B">
        <w:rPr>
          <w:lang w:eastAsia="nl-NL"/>
        </w:rPr>
        <w:t>timothee</w:t>
      </w:r>
      <w:proofErr w:type="spellEnd"/>
      <w:r w:rsidRPr="001A6D0B">
        <w:rPr>
          <w:lang w:eastAsia="nl-NL"/>
        </w:rPr>
        <w:t>, roodzwenkgras, kropaar, kamgras, veldbeemd- en honinggras.</w:t>
      </w:r>
      <w:r w:rsidRPr="001A6D0B">
        <w:rPr>
          <w:lang w:eastAsia="nl-NL"/>
        </w:rPr>
        <w:br/>
      </w:r>
      <w:r w:rsidRPr="001A6D0B">
        <w:rPr>
          <w:lang w:eastAsia="nl-NL"/>
        </w:rPr>
        <w:br/>
        <w:t>Naast de keuze voor het juiste grasmengsel is ook </w:t>
      </w:r>
      <w:hyperlink r:id="rId8" w:history="1">
        <w:r w:rsidRPr="001A6D0B">
          <w:rPr>
            <w:color w:val="282828"/>
            <w:u w:val="single"/>
            <w:lang w:eastAsia="nl-NL"/>
          </w:rPr>
          <w:t>weidebeheer</w:t>
        </w:r>
      </w:hyperlink>
      <w:r w:rsidRPr="001A6D0B">
        <w:rPr>
          <w:lang w:eastAsia="nl-NL"/>
        </w:rPr>
        <w:t> heel belangrijk voor de kwaliteit van het grasland.</w:t>
      </w:r>
      <w:r w:rsidRPr="001A6D0B">
        <w:rPr>
          <w:lang w:eastAsia="nl-NL"/>
        </w:rPr>
        <w:br/>
      </w:r>
      <w:r w:rsidRPr="001A6D0B">
        <w:rPr>
          <w:lang w:eastAsia="nl-NL"/>
        </w:rPr>
        <w:br/>
        <w:t>Voorbeelden van grasmengsels voor paarden zijn:</w:t>
      </w:r>
      <w:r w:rsidRPr="001A6D0B">
        <w:rPr>
          <w:lang w:eastAsia="nl-NL"/>
        </w:rPr>
        <w:br/>
      </w:r>
      <w:r w:rsidRPr="001A6D0B">
        <w:rPr>
          <w:lang w:eastAsia="nl-NL"/>
        </w:rPr>
        <w:br/>
      </w:r>
      <w:hyperlink r:id="rId9" w:history="1">
        <w:proofErr w:type="spellStart"/>
        <w:r w:rsidRPr="001A6D0B">
          <w:rPr>
            <w:color w:val="282828"/>
            <w:u w:val="single"/>
            <w:lang w:eastAsia="nl-NL"/>
          </w:rPr>
          <w:t>Eurograss</w:t>
        </w:r>
        <w:proofErr w:type="spellEnd"/>
        <w:r w:rsidRPr="001A6D0B">
          <w:rPr>
            <w:color w:val="282828"/>
            <w:u w:val="single"/>
            <w:lang w:eastAsia="nl-NL"/>
          </w:rPr>
          <w:t xml:space="preserve"> </w:t>
        </w:r>
        <w:proofErr w:type="spellStart"/>
        <w:r w:rsidRPr="001A6D0B">
          <w:rPr>
            <w:color w:val="282828"/>
            <w:u w:val="single"/>
            <w:lang w:eastAsia="nl-NL"/>
          </w:rPr>
          <w:t>VitaHorse</w:t>
        </w:r>
        <w:proofErr w:type="spellEnd"/>
      </w:hyperlink>
    </w:p>
    <w:tbl>
      <w:tblPr>
        <w:tblW w:w="8010" w:type="dxa"/>
        <w:shd w:val="clear" w:color="auto" w:fill="FFFFFF"/>
        <w:tblCellMar>
          <w:top w:w="75" w:type="dxa"/>
          <w:left w:w="75" w:type="dxa"/>
          <w:bottom w:w="75" w:type="dxa"/>
          <w:right w:w="75" w:type="dxa"/>
        </w:tblCellMar>
        <w:tblLook w:val="04A0" w:firstRow="1" w:lastRow="0" w:firstColumn="1" w:lastColumn="0" w:noHBand="0" w:noVBand="1"/>
      </w:tblPr>
      <w:tblGrid>
        <w:gridCol w:w="2248"/>
        <w:gridCol w:w="948"/>
        <w:gridCol w:w="1471"/>
        <w:gridCol w:w="726"/>
        <w:gridCol w:w="2617"/>
      </w:tblGrid>
      <w:tr w:rsidR="001A6D0B" w:rsidRPr="001A6D0B" w:rsidTr="001A6D0B">
        <w:tc>
          <w:tcPr>
            <w:tcW w:w="0" w:type="auto"/>
            <w:shd w:val="clear" w:color="auto" w:fill="FFFFFF"/>
            <w:hideMark/>
          </w:tcPr>
          <w:p w:rsidR="001A6D0B" w:rsidRPr="001A6D0B" w:rsidRDefault="001A6D0B" w:rsidP="001A6D0B">
            <w:pPr>
              <w:spacing w:after="0" w:line="210" w:lineRule="atLeast"/>
              <w:rPr>
                <w:rFonts w:ascii="Arial" w:eastAsia="Times New Roman" w:hAnsi="Arial" w:cs="Arial"/>
                <w:color w:val="474646"/>
                <w:sz w:val="18"/>
                <w:szCs w:val="18"/>
                <w:lang w:eastAsia="nl-NL"/>
              </w:rPr>
            </w:pPr>
            <w:r w:rsidRPr="001A6D0B">
              <w:rPr>
                <w:rFonts w:ascii="Arial" w:eastAsia="Times New Roman" w:hAnsi="Arial" w:cs="Arial"/>
                <w:b/>
                <w:bCs/>
                <w:i/>
                <w:iCs/>
                <w:color w:val="474646"/>
                <w:sz w:val="18"/>
                <w:szCs w:val="18"/>
                <w:lang w:eastAsia="nl-NL"/>
              </w:rPr>
              <w:t>Verschil met BG11</w:t>
            </w:r>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Droge stof</w:t>
            </w:r>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Structuurwaarde</w:t>
            </w:r>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Ruw as</w:t>
            </w:r>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Verteerbaarheid Organische stof</w:t>
            </w:r>
          </w:p>
        </w:tc>
      </w:tr>
      <w:tr w:rsidR="001A6D0B" w:rsidRPr="001A6D0B" w:rsidTr="001A6D0B">
        <w:tc>
          <w:tcPr>
            <w:tcW w:w="0" w:type="auto"/>
            <w:shd w:val="clear" w:color="auto" w:fill="FFFFFF"/>
            <w:hideMark/>
          </w:tcPr>
          <w:p w:rsidR="001A6D0B" w:rsidRPr="001A6D0B" w:rsidRDefault="001A6D0B" w:rsidP="001A6D0B">
            <w:pPr>
              <w:spacing w:after="0" w:line="210" w:lineRule="atLeast"/>
              <w:rPr>
                <w:rFonts w:ascii="Arial" w:eastAsia="Times New Roman" w:hAnsi="Arial" w:cs="Arial"/>
                <w:color w:val="474646"/>
                <w:sz w:val="18"/>
                <w:szCs w:val="18"/>
                <w:lang w:eastAsia="nl-NL"/>
              </w:rPr>
            </w:pPr>
            <w:hyperlink r:id="rId10" w:tgtFrame="_blank" w:history="1">
              <w:proofErr w:type="spellStart"/>
              <w:r w:rsidRPr="001A6D0B">
                <w:rPr>
                  <w:rFonts w:ascii="Arial" w:eastAsia="Times New Roman" w:hAnsi="Arial" w:cs="Arial"/>
                  <w:color w:val="282828"/>
                  <w:sz w:val="18"/>
                  <w:szCs w:val="18"/>
                  <w:u w:val="single"/>
                  <w:lang w:eastAsia="nl-NL"/>
                </w:rPr>
                <w:t>VitaHorse</w:t>
              </w:r>
              <w:proofErr w:type="spellEnd"/>
              <w:r w:rsidRPr="001A6D0B">
                <w:rPr>
                  <w:rFonts w:ascii="Arial" w:eastAsia="Times New Roman" w:hAnsi="Arial" w:cs="Arial"/>
                  <w:color w:val="282828"/>
                  <w:sz w:val="18"/>
                  <w:szCs w:val="18"/>
                  <w:u w:val="single"/>
                  <w:lang w:eastAsia="nl-NL"/>
                </w:rPr>
                <w:t xml:space="preserve"> </w:t>
              </w:r>
              <w:proofErr w:type="spellStart"/>
              <w:r w:rsidRPr="001A6D0B">
                <w:rPr>
                  <w:rFonts w:ascii="Arial" w:eastAsia="Times New Roman" w:hAnsi="Arial" w:cs="Arial"/>
                  <w:color w:val="282828"/>
                  <w:sz w:val="18"/>
                  <w:szCs w:val="18"/>
                  <w:u w:val="single"/>
                  <w:lang w:eastAsia="nl-NL"/>
                </w:rPr>
                <w:t>Grassbalance</w:t>
              </w:r>
              <w:proofErr w:type="spellEnd"/>
            </w:hyperlink>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77,6%</w:t>
            </w:r>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4,2</w:t>
            </w:r>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74</w:t>
            </w:r>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62,7</w:t>
            </w:r>
          </w:p>
        </w:tc>
      </w:tr>
      <w:tr w:rsidR="001A6D0B" w:rsidRPr="001A6D0B" w:rsidTr="001A6D0B">
        <w:tc>
          <w:tcPr>
            <w:tcW w:w="0" w:type="auto"/>
            <w:shd w:val="clear" w:color="auto" w:fill="FFFFFF"/>
            <w:hideMark/>
          </w:tcPr>
          <w:p w:rsidR="001A6D0B" w:rsidRPr="001A6D0B" w:rsidRDefault="001A6D0B" w:rsidP="001A6D0B">
            <w:pPr>
              <w:spacing w:after="0" w:line="210" w:lineRule="atLeast"/>
              <w:rPr>
                <w:rFonts w:ascii="Arial" w:eastAsia="Times New Roman" w:hAnsi="Arial" w:cs="Arial"/>
                <w:color w:val="474646"/>
                <w:sz w:val="18"/>
                <w:szCs w:val="18"/>
                <w:lang w:eastAsia="nl-NL"/>
              </w:rPr>
            </w:pPr>
            <w:hyperlink r:id="rId11" w:tgtFrame="_blank" w:history="1">
              <w:proofErr w:type="spellStart"/>
              <w:r w:rsidRPr="001A6D0B">
                <w:rPr>
                  <w:rFonts w:ascii="Arial" w:eastAsia="Times New Roman" w:hAnsi="Arial" w:cs="Arial"/>
                  <w:color w:val="282828"/>
                  <w:sz w:val="18"/>
                  <w:szCs w:val="18"/>
                  <w:u w:val="single"/>
                  <w:lang w:eastAsia="nl-NL"/>
                </w:rPr>
                <w:t>VitaHorse</w:t>
              </w:r>
              <w:proofErr w:type="spellEnd"/>
              <w:r w:rsidRPr="001A6D0B">
                <w:rPr>
                  <w:rFonts w:ascii="Arial" w:eastAsia="Times New Roman" w:hAnsi="Arial" w:cs="Arial"/>
                  <w:color w:val="282828"/>
                  <w:sz w:val="18"/>
                  <w:szCs w:val="18"/>
                  <w:u w:val="single"/>
                  <w:lang w:eastAsia="nl-NL"/>
                </w:rPr>
                <w:t xml:space="preserve"> Low </w:t>
              </w:r>
              <w:proofErr w:type="spellStart"/>
              <w:r w:rsidRPr="001A6D0B">
                <w:rPr>
                  <w:rFonts w:ascii="Arial" w:eastAsia="Times New Roman" w:hAnsi="Arial" w:cs="Arial"/>
                  <w:color w:val="282828"/>
                  <w:sz w:val="18"/>
                  <w:szCs w:val="18"/>
                  <w:u w:val="single"/>
                  <w:lang w:eastAsia="nl-NL"/>
                </w:rPr>
                <w:t>FructaneMix</w:t>
              </w:r>
              <w:proofErr w:type="spellEnd"/>
            </w:hyperlink>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80,7%</w:t>
            </w:r>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4,3</w:t>
            </w:r>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67</w:t>
            </w:r>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58</w:t>
            </w:r>
          </w:p>
        </w:tc>
      </w:tr>
      <w:tr w:rsidR="001A6D0B" w:rsidRPr="001A6D0B" w:rsidTr="001A6D0B">
        <w:trPr>
          <w:trHeight w:val="540"/>
        </w:trPr>
        <w:tc>
          <w:tcPr>
            <w:tcW w:w="0" w:type="auto"/>
            <w:shd w:val="clear" w:color="auto" w:fill="FFFFFF"/>
            <w:hideMark/>
          </w:tcPr>
          <w:p w:rsidR="001A6D0B" w:rsidRPr="001A6D0B" w:rsidRDefault="001A6D0B" w:rsidP="001A6D0B">
            <w:pPr>
              <w:spacing w:after="0" w:line="210" w:lineRule="atLeast"/>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BG11</w:t>
            </w:r>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64,9%</w:t>
            </w:r>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3,7</w:t>
            </w:r>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103</w:t>
            </w:r>
          </w:p>
        </w:tc>
        <w:tc>
          <w:tcPr>
            <w:tcW w:w="0" w:type="auto"/>
            <w:shd w:val="clear" w:color="auto" w:fill="FFFFFF"/>
            <w:hideMark/>
          </w:tcPr>
          <w:p w:rsidR="001A6D0B" w:rsidRPr="001A6D0B" w:rsidRDefault="001A6D0B" w:rsidP="001A6D0B">
            <w:pPr>
              <w:spacing w:after="0" w:line="210" w:lineRule="atLeast"/>
              <w:jc w:val="center"/>
              <w:rPr>
                <w:rFonts w:ascii="Arial" w:eastAsia="Times New Roman" w:hAnsi="Arial" w:cs="Arial"/>
                <w:color w:val="474646"/>
                <w:sz w:val="18"/>
                <w:szCs w:val="18"/>
                <w:lang w:eastAsia="nl-NL"/>
              </w:rPr>
            </w:pPr>
            <w:r w:rsidRPr="001A6D0B">
              <w:rPr>
                <w:rFonts w:ascii="Arial" w:eastAsia="Times New Roman" w:hAnsi="Arial" w:cs="Arial"/>
                <w:color w:val="474646"/>
                <w:sz w:val="18"/>
                <w:szCs w:val="18"/>
                <w:lang w:eastAsia="nl-NL"/>
              </w:rPr>
              <w:t>68,2</w:t>
            </w:r>
          </w:p>
        </w:tc>
      </w:tr>
    </w:tbl>
    <w:p w:rsidR="000624BC" w:rsidRDefault="000624BC">
      <w:bookmarkStart w:id="0" w:name="_GoBack"/>
      <w:bookmarkEnd w:id="0"/>
    </w:p>
    <w:sectPr w:rsidR="000624B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99" w:rsidRDefault="00F83B99" w:rsidP="001A6D0B">
      <w:pPr>
        <w:spacing w:after="0" w:line="240" w:lineRule="auto"/>
      </w:pPr>
      <w:r>
        <w:separator/>
      </w:r>
    </w:p>
  </w:endnote>
  <w:endnote w:type="continuationSeparator" w:id="0">
    <w:p w:rsidR="00F83B99" w:rsidRDefault="00F83B99" w:rsidP="001A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99" w:rsidRDefault="00F83B99" w:rsidP="001A6D0B">
      <w:pPr>
        <w:spacing w:after="0" w:line="240" w:lineRule="auto"/>
      </w:pPr>
      <w:r>
        <w:separator/>
      </w:r>
    </w:p>
  </w:footnote>
  <w:footnote w:type="continuationSeparator" w:id="0">
    <w:p w:rsidR="00F83B99" w:rsidRDefault="00F83B99" w:rsidP="001A6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0B" w:rsidRDefault="001A6D0B">
    <w:pPr>
      <w:pStyle w:val="Koptekst"/>
    </w:pPr>
    <w:r>
      <w:t>Bron 1.5: graszaadmengsels voor paarden</w:t>
    </w:r>
  </w:p>
  <w:p w:rsidR="001A6D0B" w:rsidRDefault="001A6D0B">
    <w:pPr>
      <w:pStyle w:val="Kopteks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0B"/>
    <w:rsid w:val="000624BC"/>
    <w:rsid w:val="001A6D0B"/>
    <w:rsid w:val="00F83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1A6D0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A6D0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A6D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A6D0B"/>
  </w:style>
  <w:style w:type="character" w:styleId="Hyperlink">
    <w:name w:val="Hyperlink"/>
    <w:basedOn w:val="Standaardalinea-lettertype"/>
    <w:uiPriority w:val="99"/>
    <w:semiHidden/>
    <w:unhideWhenUsed/>
    <w:rsid w:val="001A6D0B"/>
    <w:rPr>
      <w:color w:val="0000FF"/>
      <w:u w:val="single"/>
    </w:rPr>
  </w:style>
  <w:style w:type="character" w:styleId="Zwaar">
    <w:name w:val="Strong"/>
    <w:basedOn w:val="Standaardalinea-lettertype"/>
    <w:uiPriority w:val="22"/>
    <w:qFormat/>
    <w:rsid w:val="001A6D0B"/>
    <w:rPr>
      <w:b/>
      <w:bCs/>
    </w:rPr>
  </w:style>
  <w:style w:type="paragraph" w:styleId="Koptekst">
    <w:name w:val="header"/>
    <w:basedOn w:val="Standaard"/>
    <w:link w:val="KoptekstChar"/>
    <w:uiPriority w:val="99"/>
    <w:unhideWhenUsed/>
    <w:rsid w:val="001A6D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D0B"/>
  </w:style>
  <w:style w:type="paragraph" w:styleId="Voettekst">
    <w:name w:val="footer"/>
    <w:basedOn w:val="Standaard"/>
    <w:link w:val="VoettekstChar"/>
    <w:uiPriority w:val="99"/>
    <w:unhideWhenUsed/>
    <w:rsid w:val="001A6D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D0B"/>
  </w:style>
  <w:style w:type="paragraph" w:styleId="Geenafstand">
    <w:name w:val="No Spacing"/>
    <w:uiPriority w:val="1"/>
    <w:qFormat/>
    <w:rsid w:val="001A6D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1A6D0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A6D0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A6D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A6D0B"/>
  </w:style>
  <w:style w:type="character" w:styleId="Hyperlink">
    <w:name w:val="Hyperlink"/>
    <w:basedOn w:val="Standaardalinea-lettertype"/>
    <w:uiPriority w:val="99"/>
    <w:semiHidden/>
    <w:unhideWhenUsed/>
    <w:rsid w:val="001A6D0B"/>
    <w:rPr>
      <w:color w:val="0000FF"/>
      <w:u w:val="single"/>
    </w:rPr>
  </w:style>
  <w:style w:type="character" w:styleId="Zwaar">
    <w:name w:val="Strong"/>
    <w:basedOn w:val="Standaardalinea-lettertype"/>
    <w:uiPriority w:val="22"/>
    <w:qFormat/>
    <w:rsid w:val="001A6D0B"/>
    <w:rPr>
      <w:b/>
      <w:bCs/>
    </w:rPr>
  </w:style>
  <w:style w:type="paragraph" w:styleId="Koptekst">
    <w:name w:val="header"/>
    <w:basedOn w:val="Standaard"/>
    <w:link w:val="KoptekstChar"/>
    <w:uiPriority w:val="99"/>
    <w:unhideWhenUsed/>
    <w:rsid w:val="001A6D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D0B"/>
  </w:style>
  <w:style w:type="paragraph" w:styleId="Voettekst">
    <w:name w:val="footer"/>
    <w:basedOn w:val="Standaard"/>
    <w:link w:val="VoettekstChar"/>
    <w:uiPriority w:val="99"/>
    <w:unhideWhenUsed/>
    <w:rsid w:val="001A6D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D0B"/>
  </w:style>
  <w:style w:type="paragraph" w:styleId="Geenafstand">
    <w:name w:val="No Spacing"/>
    <w:uiPriority w:val="1"/>
    <w:qFormat/>
    <w:rsid w:val="001A6D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21661">
      <w:bodyDiv w:val="1"/>
      <w:marLeft w:val="0"/>
      <w:marRight w:val="0"/>
      <w:marTop w:val="0"/>
      <w:marBottom w:val="0"/>
      <w:divBdr>
        <w:top w:val="none" w:sz="0" w:space="0" w:color="auto"/>
        <w:left w:val="none" w:sz="0" w:space="0" w:color="auto"/>
        <w:bottom w:val="none" w:sz="0" w:space="0" w:color="auto"/>
        <w:right w:val="none" w:sz="0" w:space="0" w:color="auto"/>
      </w:divBdr>
      <w:divsChild>
        <w:div w:id="116289369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rvergelijk.nl/kennisbank/107/beheer-van-een-paardenwe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ervergelijk.nl/informatie/105/grasmengsels-voor-paarden"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llesovergras.nl/gras-voor-paarden/vita-horse-graszaadmengsels/vitahorse-low-fructane-mix/" TargetMode="External"/><Relationship Id="rId5" Type="http://schemas.openxmlformats.org/officeDocument/2006/relationships/footnotes" Target="footnotes.xml"/><Relationship Id="rId10" Type="http://schemas.openxmlformats.org/officeDocument/2006/relationships/hyperlink" Target="http://www.allesovergras.nl/gras-voor-paarden/vita-horse-graszaadmengsels/vitahorse-grassbalance/" TargetMode="External"/><Relationship Id="rId4" Type="http://schemas.openxmlformats.org/officeDocument/2006/relationships/webSettings" Target="webSettings.xml"/><Relationship Id="rId9" Type="http://schemas.openxmlformats.org/officeDocument/2006/relationships/hyperlink" Target="http://www.allesovergras.nl/gras-voor-paarden/vita-horse-graszaadmengsel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2138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cp:revision>
  <dcterms:created xsi:type="dcterms:W3CDTF">2013-04-15T14:35:00Z</dcterms:created>
  <dcterms:modified xsi:type="dcterms:W3CDTF">2013-04-15T14:39:00Z</dcterms:modified>
</cp:coreProperties>
</file>